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A812">
      <w:pPr>
        <w:spacing w:before="156" w:beforeLines="50" w:line="480" w:lineRule="auto"/>
        <w:jc w:val="center"/>
        <w:rPr>
          <w:rFonts w:hint="eastAsia" w:ascii="方正小标宋简体" w:eastAsia="方正小标宋简体"/>
          <w:spacing w:val="-20"/>
          <w:sz w:val="44"/>
          <w:szCs w:val="44"/>
          <w:lang w:val="en-US" w:eastAsia="zh-CN"/>
        </w:rPr>
      </w:pPr>
      <w:bookmarkStart w:id="0" w:name="_Hlk186193949"/>
      <w:r>
        <w:rPr>
          <w:rFonts w:hint="eastAsia" w:ascii="方正小标宋简体" w:eastAsia="方正小标宋简体"/>
          <w:spacing w:val="-20"/>
          <w:sz w:val="44"/>
          <w:szCs w:val="44"/>
        </w:rPr>
        <w:t>济南鲍德冶金石灰石有限公司</w:t>
      </w:r>
      <w:bookmarkStart w:id="1" w:name="_Hlk183855609"/>
      <w:bookmarkStart w:id="2" w:name="_Hlk186193838"/>
      <w:r>
        <w:rPr>
          <w:rFonts w:hint="eastAsia" w:ascii="方正小标宋简体" w:eastAsia="方正小标宋简体"/>
          <w:spacing w:val="-20"/>
          <w:sz w:val="44"/>
          <w:szCs w:val="44"/>
        </w:rPr>
        <w:t>复合式选粉机</w:t>
      </w:r>
      <w:bookmarkEnd w:id="1"/>
      <w:r>
        <w:rPr>
          <w:rFonts w:hint="eastAsia" w:ascii="方正小标宋简体" w:eastAsia="方正小标宋简体"/>
          <w:spacing w:val="-20"/>
          <w:sz w:val="44"/>
          <w:szCs w:val="44"/>
        </w:rPr>
        <w:t>设备采购</w:t>
      </w:r>
      <w:bookmarkEnd w:id="2"/>
      <w:r>
        <w:rPr>
          <w:rFonts w:hint="eastAsia" w:ascii="方正小标宋简体" w:eastAsia="方正小标宋简体"/>
          <w:spacing w:val="-20"/>
          <w:sz w:val="44"/>
          <w:szCs w:val="44"/>
        </w:rPr>
        <w:t>竞争性谈判</w:t>
      </w:r>
      <w:bookmarkEnd w:id="0"/>
      <w:r>
        <w:rPr>
          <w:rFonts w:hint="eastAsia" w:ascii="方正小标宋简体" w:eastAsia="方正小标宋简体"/>
          <w:spacing w:val="-20"/>
          <w:sz w:val="44"/>
          <w:szCs w:val="44"/>
          <w:lang w:val="en-US" w:eastAsia="zh-CN"/>
        </w:rPr>
        <w:t>公告</w:t>
      </w:r>
    </w:p>
    <w:p w14:paraId="046536A1">
      <w:pPr>
        <w:jc w:val="center"/>
        <w:rPr>
          <w:rFonts w:hint="eastAsia" w:ascii="仿宋_GB2312" w:hAnsi="仿宋_GB2312" w:eastAsia="仿宋_GB2312" w:cs="仿宋_GB2312"/>
          <w:b/>
          <w:bCs w:val="0"/>
          <w:spacing w:val="-20"/>
          <w:sz w:val="30"/>
          <w:szCs w:val="30"/>
          <w:highlight w:val="none"/>
        </w:rPr>
      </w:pPr>
      <w:r>
        <w:rPr>
          <w:rFonts w:hint="eastAsia" w:ascii="仿宋_GB2312" w:hAnsi="仿宋_GB2312" w:eastAsia="仿宋_GB2312" w:cs="仿宋_GB2312"/>
          <w:b/>
          <w:bCs w:val="0"/>
          <w:spacing w:val="-20"/>
          <w:sz w:val="30"/>
          <w:szCs w:val="30"/>
          <w:highlight w:val="none"/>
        </w:rPr>
        <w:t>(编号：</w:t>
      </w:r>
      <w:r>
        <w:rPr>
          <w:rFonts w:hint="eastAsia" w:ascii="宋体" w:hAnsi="宋体" w:eastAsia="宋体"/>
          <w:b/>
          <w:bCs w:val="0"/>
          <w:sz w:val="24"/>
        </w:rPr>
        <w:t xml:space="preserve"> </w:t>
      </w:r>
      <w:r>
        <w:rPr>
          <w:rFonts w:hint="eastAsia" w:ascii="宋体" w:hAnsi="宋体" w:eastAsia="宋体"/>
          <w:b/>
          <w:bCs w:val="0"/>
          <w:sz w:val="24"/>
          <w:lang w:val="en-US" w:eastAsia="zh-CN"/>
        </w:rPr>
        <w:t>1253241231001</w:t>
      </w:r>
      <w:r>
        <w:rPr>
          <w:rFonts w:ascii="仿宋_GB2312" w:hAnsi="仿宋_GB2312" w:eastAsia="仿宋_GB2312" w:cs="仿宋_GB2312"/>
          <w:b/>
          <w:bCs w:val="0"/>
          <w:spacing w:val="-20"/>
          <w:sz w:val="30"/>
          <w:szCs w:val="30"/>
          <w:highlight w:val="none"/>
        </w:rPr>
        <w:t xml:space="preserve"> </w:t>
      </w:r>
      <w:r>
        <w:rPr>
          <w:rFonts w:hint="eastAsia" w:ascii="仿宋_GB2312" w:hAnsi="仿宋_GB2312" w:eastAsia="仿宋_GB2312" w:cs="仿宋_GB2312"/>
          <w:b/>
          <w:bCs w:val="0"/>
          <w:spacing w:val="-20"/>
          <w:sz w:val="30"/>
          <w:szCs w:val="30"/>
          <w:highlight w:val="none"/>
        </w:rPr>
        <w:t>）</w:t>
      </w:r>
    </w:p>
    <w:p w14:paraId="39ED77E2">
      <w:pPr>
        <w:adjustRightInd w:val="0"/>
        <w:snapToGrid w:val="0"/>
        <w:spacing w:line="20" w:lineRule="exact"/>
        <w:ind w:firstLine="1960" w:firstLineChars="700"/>
        <w:rPr>
          <w:rFonts w:hint="eastAsia" w:eastAsia="楷体_GB2312"/>
          <w:sz w:val="28"/>
        </w:rPr>
      </w:pPr>
    </w:p>
    <w:p w14:paraId="661CF82F">
      <w:pPr>
        <w:adjustRightInd w:val="0"/>
        <w:snapToGrid w:val="0"/>
        <w:spacing w:line="20" w:lineRule="exact"/>
        <w:ind w:firstLine="1960" w:firstLineChars="700"/>
        <w:rPr>
          <w:rFonts w:hint="eastAsia" w:eastAsia="楷体_GB2312"/>
          <w:sz w:val="28"/>
        </w:rPr>
      </w:pPr>
    </w:p>
    <w:p w14:paraId="006A102D">
      <w:pPr>
        <w:adjustRightInd w:val="0"/>
        <w:snapToGrid w:val="0"/>
        <w:spacing w:line="20" w:lineRule="exact"/>
        <w:ind w:firstLine="1960" w:firstLineChars="700"/>
        <w:rPr>
          <w:rFonts w:hint="eastAsia" w:eastAsia="楷体_GB2312"/>
          <w:sz w:val="28"/>
        </w:rPr>
      </w:pPr>
    </w:p>
    <w:p w14:paraId="7FFB2D70">
      <w:pPr>
        <w:adjustRightInd w:val="0"/>
        <w:snapToGrid w:val="0"/>
        <w:spacing w:line="20" w:lineRule="exact"/>
        <w:ind w:firstLine="1960" w:firstLineChars="700"/>
        <w:rPr>
          <w:rFonts w:hint="eastAsia" w:eastAsia="楷体_GB2312"/>
          <w:sz w:val="28"/>
        </w:rPr>
      </w:pPr>
    </w:p>
    <w:p w14:paraId="620B3080">
      <w:pPr>
        <w:adjustRightInd w:val="0"/>
        <w:snapToGrid w:val="0"/>
        <w:spacing w:line="20" w:lineRule="exact"/>
        <w:ind w:firstLine="1960" w:firstLineChars="700"/>
        <w:rPr>
          <w:rFonts w:hint="eastAsia" w:eastAsia="楷体_GB2312"/>
          <w:sz w:val="28"/>
        </w:rPr>
      </w:pPr>
    </w:p>
    <w:p w14:paraId="62508EAA">
      <w:pPr>
        <w:adjustRightInd w:val="0"/>
        <w:snapToGrid w:val="0"/>
        <w:spacing w:line="20" w:lineRule="exact"/>
        <w:ind w:firstLine="1960" w:firstLineChars="700"/>
        <w:rPr>
          <w:rFonts w:hint="eastAsia" w:eastAsia="楷体_GB2312"/>
          <w:sz w:val="28"/>
        </w:rPr>
      </w:pPr>
    </w:p>
    <w:p w14:paraId="477E0CBD">
      <w:pPr>
        <w:adjustRightInd w:val="0"/>
        <w:snapToGrid w:val="0"/>
        <w:spacing w:line="20" w:lineRule="exact"/>
        <w:ind w:firstLine="1960" w:firstLineChars="700"/>
        <w:rPr>
          <w:rFonts w:hint="eastAsia" w:eastAsia="楷体_GB2312"/>
          <w:sz w:val="28"/>
        </w:rPr>
      </w:pPr>
    </w:p>
    <w:p w14:paraId="49BB879A">
      <w:pPr>
        <w:adjustRightInd w:val="0"/>
        <w:snapToGrid w:val="0"/>
        <w:spacing w:line="20" w:lineRule="exact"/>
        <w:ind w:firstLine="1960" w:firstLineChars="700"/>
        <w:rPr>
          <w:rFonts w:hint="eastAsia" w:eastAsia="楷体_GB2312"/>
          <w:sz w:val="28"/>
        </w:rPr>
      </w:pPr>
    </w:p>
    <w:p w14:paraId="3A4DE9B9">
      <w:pPr>
        <w:adjustRightInd w:val="0"/>
        <w:snapToGrid w:val="0"/>
        <w:spacing w:line="20" w:lineRule="exact"/>
        <w:ind w:firstLine="1960" w:firstLineChars="700"/>
        <w:rPr>
          <w:rFonts w:hint="eastAsia" w:eastAsia="楷体_GB2312"/>
          <w:sz w:val="28"/>
        </w:rPr>
      </w:pPr>
    </w:p>
    <w:p w14:paraId="5A0C42AF">
      <w:pPr>
        <w:spacing w:line="800" w:lineRule="exact"/>
        <w:jc w:val="center"/>
        <w:rPr>
          <w:rFonts w:hint="eastAsia" w:ascii="仿宋_GB2312" w:eastAsia="仿宋_GB2312"/>
          <w:b/>
          <w:sz w:val="32"/>
          <w:szCs w:val="32"/>
        </w:rPr>
      </w:pPr>
    </w:p>
    <w:p w14:paraId="236723AB">
      <w:pPr>
        <w:spacing w:line="800" w:lineRule="exact"/>
        <w:jc w:val="center"/>
        <w:rPr>
          <w:rFonts w:hint="eastAsia" w:ascii="仿宋_GB2312" w:eastAsia="仿宋_GB2312"/>
          <w:b/>
          <w:sz w:val="32"/>
          <w:szCs w:val="32"/>
        </w:rPr>
      </w:pPr>
    </w:p>
    <w:p w14:paraId="46D026C5">
      <w:pPr>
        <w:spacing w:line="800" w:lineRule="exact"/>
        <w:jc w:val="center"/>
        <w:rPr>
          <w:rFonts w:hint="eastAsia" w:ascii="仿宋_GB2312" w:eastAsia="仿宋_GB2312"/>
          <w:b/>
          <w:sz w:val="32"/>
          <w:szCs w:val="32"/>
        </w:rPr>
      </w:pPr>
    </w:p>
    <w:p w14:paraId="3A6C30A1">
      <w:pPr>
        <w:spacing w:line="800" w:lineRule="exact"/>
        <w:jc w:val="center"/>
        <w:rPr>
          <w:rFonts w:hint="eastAsia" w:ascii="仿宋_GB2312" w:eastAsia="仿宋_GB2312"/>
          <w:b/>
          <w:sz w:val="32"/>
          <w:szCs w:val="32"/>
        </w:rPr>
      </w:pPr>
    </w:p>
    <w:p w14:paraId="63925AE4">
      <w:pPr>
        <w:spacing w:line="800" w:lineRule="exact"/>
        <w:jc w:val="center"/>
        <w:rPr>
          <w:rFonts w:hint="eastAsia" w:ascii="仿宋_GB2312" w:eastAsia="仿宋_GB2312"/>
          <w:b/>
          <w:sz w:val="32"/>
          <w:szCs w:val="32"/>
        </w:rPr>
      </w:pPr>
    </w:p>
    <w:p w14:paraId="00B5C4D5">
      <w:pPr>
        <w:spacing w:line="800" w:lineRule="exact"/>
        <w:jc w:val="center"/>
        <w:rPr>
          <w:rFonts w:hint="eastAsia" w:ascii="仿宋_GB2312" w:eastAsia="仿宋_GB2312"/>
          <w:b/>
          <w:sz w:val="32"/>
          <w:szCs w:val="32"/>
        </w:rPr>
      </w:pPr>
      <w:r>
        <w:rPr>
          <w:rFonts w:hint="eastAsia" w:ascii="仿宋_GB2312" w:eastAsia="仿宋_GB2312"/>
          <w:b/>
          <w:sz w:val="32"/>
          <w:szCs w:val="32"/>
        </w:rPr>
        <w:t>发包人：济南鲍德冶金石灰石有限公司</w:t>
      </w:r>
    </w:p>
    <w:p w14:paraId="584CD759">
      <w:pPr>
        <w:spacing w:line="800" w:lineRule="exact"/>
        <w:jc w:val="center"/>
        <w:rPr>
          <w:rFonts w:hint="eastAsia" w:ascii="仿宋_GB2312" w:eastAsia="仿宋_GB2312"/>
          <w:b/>
          <w:sz w:val="32"/>
          <w:szCs w:val="32"/>
          <w:u w:val="single"/>
        </w:rPr>
      </w:pPr>
      <w:r>
        <w:rPr>
          <w:rFonts w:hint="eastAsia" w:ascii="仿宋_GB2312" w:eastAsia="仿宋_GB2312"/>
          <w:b/>
          <w:sz w:val="32"/>
          <w:szCs w:val="32"/>
        </w:rPr>
        <w:t>日期:   年   月</w:t>
      </w:r>
    </w:p>
    <w:p w14:paraId="16EE657A">
      <w:pPr>
        <w:spacing w:line="740" w:lineRule="exact"/>
        <w:ind w:left="210" w:leftChars="100" w:firstLine="3602" w:firstLineChars="750"/>
        <w:rPr>
          <w:rFonts w:hint="eastAsia"/>
          <w:b/>
          <w:sz w:val="48"/>
          <w:szCs w:val="48"/>
        </w:rPr>
      </w:pPr>
    </w:p>
    <w:p w14:paraId="52B7A6BA">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bookmarkStart w:id="3" w:name="_Hlk122181574"/>
    </w:p>
    <w:p w14:paraId="6A840A41">
      <w:pPr>
        <w:widowControl/>
        <w:tabs>
          <w:tab w:val="left" w:pos="1843"/>
        </w:tabs>
        <w:autoSpaceDE w:val="0"/>
        <w:autoSpaceDN w:val="0"/>
        <w:adjustRightInd w:val="0"/>
        <w:spacing w:before="156" w:beforeLines="50"/>
        <w:jc w:val="center"/>
        <w:rPr>
          <w:rFonts w:hint="eastAsia" w:ascii="仿宋" w:hAnsi="仿宋" w:eastAsia="仿宋" w:cs="Arial Unicode MS"/>
          <w:kern w:val="0"/>
          <w:sz w:val="32"/>
          <w:szCs w:val="32"/>
          <w:lang w:val="zh-CN"/>
        </w:rPr>
      </w:pPr>
    </w:p>
    <w:p w14:paraId="1B4C669D">
      <w:pPr>
        <w:widowControl/>
        <w:tabs>
          <w:tab w:val="left" w:pos="1843"/>
        </w:tabs>
        <w:autoSpaceDE w:val="0"/>
        <w:autoSpaceDN w:val="0"/>
        <w:adjustRightInd w:val="0"/>
        <w:spacing w:before="156" w:beforeLines="50"/>
        <w:jc w:val="center"/>
        <w:rPr>
          <w:rFonts w:hint="eastAsia" w:ascii="仿宋_GB2312" w:hAnsi="仿宋_GB2312" w:eastAsia="仿宋_GB2312" w:cs="仿宋_GB2312"/>
          <w:b/>
          <w:bCs/>
          <w:sz w:val="28"/>
          <w:szCs w:val="28"/>
          <w:lang w:val="zh-CN"/>
        </w:rPr>
      </w:pPr>
    </w:p>
    <w:p w14:paraId="4A32282F">
      <w:pPr>
        <w:widowControl/>
        <w:tabs>
          <w:tab w:val="left" w:pos="1843"/>
        </w:tabs>
        <w:autoSpaceDE w:val="0"/>
        <w:autoSpaceDN w:val="0"/>
        <w:adjustRightInd w:val="0"/>
        <w:spacing w:before="156" w:beforeLines="50"/>
        <w:jc w:val="center"/>
        <w:rPr>
          <w:rFonts w:hint="eastAsia" w:ascii="仿宋_GB2312" w:hAnsi="仿宋_GB2312" w:eastAsia="仿宋_GB2312" w:cs="仿宋_GB2312"/>
          <w:b/>
          <w:bCs/>
          <w:sz w:val="28"/>
          <w:szCs w:val="28"/>
          <w:lang w:val="zh-CN"/>
        </w:rPr>
      </w:pPr>
    </w:p>
    <w:p w14:paraId="5769E59E">
      <w:pPr>
        <w:widowControl/>
        <w:tabs>
          <w:tab w:val="left" w:pos="1843"/>
        </w:tabs>
        <w:autoSpaceDE w:val="0"/>
        <w:autoSpaceDN w:val="0"/>
        <w:adjustRightInd w:val="0"/>
        <w:spacing w:before="156" w:beforeLines="50"/>
        <w:jc w:val="center"/>
        <w:rPr>
          <w:rFonts w:hint="eastAsia" w:ascii="仿宋_GB2312" w:hAnsi="仿宋_GB2312" w:eastAsia="仿宋_GB2312" w:cs="仿宋_GB2312"/>
          <w:b/>
          <w:bCs/>
          <w:sz w:val="28"/>
          <w:szCs w:val="28"/>
          <w:lang w:val="zh-CN"/>
        </w:rPr>
      </w:pPr>
    </w:p>
    <w:p w14:paraId="06855D43">
      <w:pPr>
        <w:widowControl/>
        <w:tabs>
          <w:tab w:val="left" w:pos="1843"/>
        </w:tabs>
        <w:autoSpaceDE w:val="0"/>
        <w:autoSpaceDN w:val="0"/>
        <w:adjustRightInd w:val="0"/>
        <w:spacing w:before="156" w:beforeLines="50"/>
        <w:jc w:val="center"/>
        <w:rPr>
          <w:rFonts w:hint="eastAsia" w:ascii="仿宋_GB2312" w:hAnsi="仿宋_GB2312" w:eastAsia="仿宋_GB2312" w:cs="仿宋_GB2312"/>
          <w:b/>
          <w:bCs/>
          <w:sz w:val="28"/>
          <w:szCs w:val="28"/>
          <w:lang w:val="zh-CN"/>
        </w:rPr>
      </w:pPr>
    </w:p>
    <w:p w14:paraId="0FC1915A">
      <w:pPr>
        <w:widowControl/>
        <w:tabs>
          <w:tab w:val="left" w:pos="1843"/>
        </w:tabs>
        <w:autoSpaceDE w:val="0"/>
        <w:autoSpaceDN w:val="0"/>
        <w:adjustRightInd w:val="0"/>
        <w:spacing w:before="156" w:beforeLines="50"/>
        <w:ind w:firstLine="2249" w:firstLineChars="800"/>
        <w:jc w:val="both"/>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济南鲍德冶金石灰石有限公司</w:t>
      </w:r>
    </w:p>
    <w:p w14:paraId="668A53E6">
      <w:pPr>
        <w:widowControl/>
        <w:tabs>
          <w:tab w:val="left" w:pos="1843"/>
        </w:tabs>
        <w:autoSpaceDE w:val="0"/>
        <w:autoSpaceDN w:val="0"/>
        <w:adjustRightInd w:val="0"/>
        <w:spacing w:before="156" w:beforeLines="50"/>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t>复合式选粉机设备采购竞争性谈判公告</w:t>
      </w:r>
    </w:p>
    <w:bookmarkEnd w:id="3"/>
    <w:p w14:paraId="7C306C81">
      <w:pPr>
        <w:rPr>
          <w:rFonts w:hint="default" w:ascii="宋体" w:hAnsi="宋体" w:eastAsia="宋体"/>
          <w:sz w:val="24"/>
          <w:lang w:val="en-US" w:eastAsia="zh-CN"/>
        </w:rPr>
      </w:pPr>
      <w:r>
        <w:rPr>
          <w:rFonts w:hint="eastAsia" w:ascii="宋体" w:hAnsi="宋体" w:eastAsia="宋体"/>
          <w:sz w:val="24"/>
        </w:rPr>
        <w:t xml:space="preserve">一、竞争性谈判公告编号： </w:t>
      </w:r>
      <w:r>
        <w:rPr>
          <w:rFonts w:hint="eastAsia" w:ascii="宋体" w:hAnsi="宋体" w:eastAsia="宋体"/>
          <w:sz w:val="24"/>
          <w:lang w:val="en-US" w:eastAsia="zh-CN"/>
        </w:rPr>
        <w:t>1253241231001</w:t>
      </w:r>
    </w:p>
    <w:p w14:paraId="68BF78B6">
      <w:pPr>
        <w:spacing w:line="396" w:lineRule="auto"/>
        <w:ind w:left="1560" w:hanging="1560" w:hangingChars="650"/>
        <w:jc w:val="left"/>
        <w:rPr>
          <w:rFonts w:hint="eastAsia" w:ascii="宋体" w:hAnsi="宋体" w:eastAsia="宋体"/>
          <w:sz w:val="24"/>
        </w:rPr>
      </w:pPr>
      <w:r>
        <w:rPr>
          <w:rFonts w:hint="eastAsia" w:ascii="宋体" w:hAnsi="宋体" w:eastAsia="宋体"/>
          <w:sz w:val="24"/>
        </w:rPr>
        <w:t>二、竞争性谈判名称：济南鲍德冶金石灰石有限公司复合式选粉机设备采购</w:t>
      </w:r>
    </w:p>
    <w:p w14:paraId="1486D508">
      <w:pPr>
        <w:spacing w:line="396" w:lineRule="auto"/>
        <w:jc w:val="left"/>
        <w:rPr>
          <w:rFonts w:hint="eastAsia" w:ascii="宋体" w:hAnsi="宋体" w:eastAsia="宋体"/>
          <w:sz w:val="24"/>
        </w:rPr>
      </w:pPr>
      <w:r>
        <w:rPr>
          <w:rFonts w:hint="eastAsia" w:ascii="宋体" w:hAnsi="宋体" w:eastAsia="宋体"/>
          <w:sz w:val="24"/>
        </w:rPr>
        <w:t>三、竞争性谈判内容：</w:t>
      </w:r>
    </w:p>
    <w:p w14:paraId="13A75180">
      <w:pPr>
        <w:spacing w:line="396" w:lineRule="auto"/>
        <w:ind w:firstLine="480" w:firstLineChars="200"/>
        <w:jc w:val="left"/>
        <w:rPr>
          <w:rFonts w:hint="eastAsia" w:ascii="宋体" w:hAnsi="宋体" w:eastAsia="宋体"/>
          <w:sz w:val="24"/>
          <w:szCs w:val="24"/>
        </w:rPr>
      </w:pPr>
      <w:r>
        <w:rPr>
          <w:rFonts w:hint="eastAsia" w:ascii="宋体" w:hAnsi="宋体" w:eastAsia="宋体"/>
          <w:sz w:val="24"/>
        </w:rPr>
        <w:t>济南鲍德冶金石灰石有限公司石灰岩尾料年产出量约15万吨，现需采购一套加工能力80-100吨/小时的复合式选粉机及其配套设备，用于机制砂制备。</w:t>
      </w:r>
      <w:r>
        <w:rPr>
          <w:rFonts w:hint="eastAsia" w:ascii="宋体" w:hAnsi="宋体" w:eastAsia="宋体"/>
          <w:sz w:val="24"/>
          <w:szCs w:val="24"/>
        </w:rPr>
        <w:t>具体要求详见谈判文件，明细如下：</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63"/>
        <w:gridCol w:w="1171"/>
        <w:gridCol w:w="470"/>
        <w:gridCol w:w="584"/>
        <w:gridCol w:w="1289"/>
        <w:gridCol w:w="1994"/>
        <w:gridCol w:w="930"/>
      </w:tblGrid>
      <w:tr w14:paraId="6ECD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 w:type="pct"/>
            <w:noWrap/>
            <w:vAlign w:val="center"/>
          </w:tcPr>
          <w:p w14:paraId="14EE5AD1">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917" w:type="pct"/>
            <w:noWrap/>
            <w:vAlign w:val="center"/>
          </w:tcPr>
          <w:p w14:paraId="171ECA10">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标的名称</w:t>
            </w:r>
          </w:p>
        </w:tc>
        <w:tc>
          <w:tcPr>
            <w:tcW w:w="687" w:type="pct"/>
            <w:noWrap/>
            <w:vAlign w:val="center"/>
          </w:tcPr>
          <w:p w14:paraId="133A7BE4">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参考型号及说明</w:t>
            </w:r>
          </w:p>
        </w:tc>
        <w:tc>
          <w:tcPr>
            <w:tcW w:w="276" w:type="pct"/>
            <w:vAlign w:val="center"/>
          </w:tcPr>
          <w:p w14:paraId="45AF9685">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343" w:type="pct"/>
            <w:noWrap/>
            <w:vAlign w:val="center"/>
          </w:tcPr>
          <w:p w14:paraId="7C2E4B19">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756" w:type="pct"/>
            <w:noWrap/>
            <w:vAlign w:val="center"/>
          </w:tcPr>
          <w:p w14:paraId="1703F5AC">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到货地点</w:t>
            </w:r>
          </w:p>
        </w:tc>
        <w:tc>
          <w:tcPr>
            <w:tcW w:w="1169" w:type="pct"/>
            <w:noWrap/>
            <w:vAlign w:val="center"/>
          </w:tcPr>
          <w:p w14:paraId="0DF47711">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交货期</w:t>
            </w:r>
          </w:p>
        </w:tc>
        <w:tc>
          <w:tcPr>
            <w:tcW w:w="546" w:type="pct"/>
            <w:noWrap/>
            <w:vAlign w:val="center"/>
          </w:tcPr>
          <w:p w14:paraId="768887C3">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是否允许代理商</w:t>
            </w:r>
          </w:p>
        </w:tc>
      </w:tr>
      <w:tr w14:paraId="6AB8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07" w:type="pct"/>
            <w:noWrap/>
            <w:vAlign w:val="center"/>
          </w:tcPr>
          <w:p w14:paraId="514587EF">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917" w:type="pct"/>
            <w:tcBorders>
              <w:top w:val="nil"/>
              <w:left w:val="nil"/>
              <w:bottom w:val="single" w:color="auto" w:sz="8" w:space="0"/>
              <w:right w:val="single" w:color="auto" w:sz="8" w:space="0"/>
            </w:tcBorders>
            <w:vAlign w:val="center"/>
          </w:tcPr>
          <w:p w14:paraId="737CCC4A">
            <w:pPr>
              <w:spacing w:line="240" w:lineRule="atLeast"/>
              <w:rPr>
                <w:rFonts w:hint="eastAsia" w:ascii="宋体" w:hAnsi="宋体" w:eastAsia="宋体" w:cs="宋体"/>
                <w:color w:val="000000"/>
                <w:szCs w:val="21"/>
              </w:rPr>
            </w:pPr>
            <w:r>
              <w:rPr>
                <w:rFonts w:hint="eastAsia" w:ascii="宋体" w:hAnsi="宋体" w:eastAsia="宋体" w:cs="宋体"/>
                <w:color w:val="000000"/>
                <w:szCs w:val="21"/>
              </w:rPr>
              <w:t>复合式选粉机</w:t>
            </w:r>
          </w:p>
        </w:tc>
        <w:tc>
          <w:tcPr>
            <w:tcW w:w="687" w:type="pct"/>
            <w:vAlign w:val="center"/>
          </w:tcPr>
          <w:p w14:paraId="15B62560">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详见要求</w:t>
            </w:r>
          </w:p>
        </w:tc>
        <w:tc>
          <w:tcPr>
            <w:tcW w:w="276" w:type="pct"/>
            <w:vAlign w:val="center"/>
          </w:tcPr>
          <w:p w14:paraId="07C49C56">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台</w:t>
            </w:r>
          </w:p>
        </w:tc>
        <w:tc>
          <w:tcPr>
            <w:tcW w:w="343" w:type="pct"/>
            <w:tcBorders>
              <w:top w:val="nil"/>
              <w:left w:val="nil"/>
              <w:bottom w:val="single" w:color="auto" w:sz="8" w:space="0"/>
              <w:right w:val="single" w:color="auto" w:sz="8" w:space="0"/>
            </w:tcBorders>
            <w:noWrap/>
            <w:vAlign w:val="center"/>
          </w:tcPr>
          <w:p w14:paraId="1CAE3529">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56" w:type="pct"/>
            <w:noWrap/>
            <w:vAlign w:val="center"/>
          </w:tcPr>
          <w:p w14:paraId="623A15EC">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济南章丘埠村街道</w:t>
            </w:r>
          </w:p>
        </w:tc>
        <w:tc>
          <w:tcPr>
            <w:tcW w:w="1169" w:type="pct"/>
            <w:noWrap/>
          </w:tcPr>
          <w:p w14:paraId="6967E921">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详见技术要求</w:t>
            </w:r>
          </w:p>
        </w:tc>
        <w:tc>
          <w:tcPr>
            <w:tcW w:w="546" w:type="pct"/>
            <w:noWrap/>
            <w:vAlign w:val="center"/>
          </w:tcPr>
          <w:p w14:paraId="5267947E">
            <w:pPr>
              <w:spacing w:line="240" w:lineRule="atLeast"/>
              <w:jc w:val="center"/>
              <w:rPr>
                <w:rFonts w:hint="eastAsia" w:ascii="宋体" w:hAnsi="宋体" w:eastAsia="宋体" w:cs="宋体"/>
                <w:color w:val="000000"/>
                <w:szCs w:val="21"/>
              </w:rPr>
            </w:pPr>
            <w:r>
              <w:rPr>
                <w:rFonts w:hint="eastAsia" w:ascii="宋体" w:hAnsi="宋体" w:eastAsia="宋体" w:cs="宋体"/>
                <w:color w:val="000000"/>
                <w:szCs w:val="21"/>
              </w:rPr>
              <w:t>否</w:t>
            </w:r>
          </w:p>
        </w:tc>
      </w:tr>
    </w:tbl>
    <w:p w14:paraId="44718B48">
      <w:pPr>
        <w:spacing w:line="500" w:lineRule="exact"/>
        <w:ind w:firstLine="480" w:firstLineChars="200"/>
        <w:rPr>
          <w:rFonts w:hint="eastAsia" w:ascii="宋体" w:hAnsi="宋体" w:eastAsia="宋体"/>
          <w:sz w:val="24"/>
        </w:rPr>
      </w:pPr>
      <w:r>
        <w:rPr>
          <w:rFonts w:hint="eastAsia" w:ascii="宋体" w:hAnsi="宋体" w:eastAsia="宋体"/>
          <w:sz w:val="24"/>
          <w:szCs w:val="24"/>
        </w:rPr>
        <w:t>谈判文件</w:t>
      </w:r>
      <w:r>
        <w:rPr>
          <w:rFonts w:ascii="宋体" w:hAnsi="宋体" w:eastAsia="宋体"/>
          <w:sz w:val="24"/>
        </w:rPr>
        <w:t>中提到的品牌或型号仅供参考，为更加直观的说明相应设备</w:t>
      </w:r>
      <w:r>
        <w:rPr>
          <w:rFonts w:hint="eastAsia" w:ascii="宋体" w:hAnsi="宋体" w:eastAsia="宋体"/>
          <w:sz w:val="24"/>
        </w:rPr>
        <w:t>/材料</w:t>
      </w:r>
      <w:r>
        <w:rPr>
          <w:rFonts w:ascii="宋体" w:hAnsi="宋体" w:eastAsia="宋体"/>
          <w:sz w:val="24"/>
        </w:rPr>
        <w:t>的技术标准和要求，</w:t>
      </w:r>
      <w:bookmarkStart w:id="4" w:name="_Hlk186197270"/>
      <w:r>
        <w:rPr>
          <w:rFonts w:hint="eastAsia" w:ascii="宋体" w:hAnsi="宋体" w:eastAsia="宋体"/>
          <w:sz w:val="24"/>
        </w:rPr>
        <w:t>谈判</w:t>
      </w:r>
      <w:bookmarkEnd w:id="4"/>
      <w:r>
        <w:rPr>
          <w:rFonts w:ascii="宋体" w:hAnsi="宋体" w:eastAsia="宋体"/>
          <w:sz w:val="24"/>
        </w:rPr>
        <w:t>人应当选择高于或相当于所列品牌或型号的技术标准的产品。</w:t>
      </w:r>
    </w:p>
    <w:p w14:paraId="3CBD2B6B">
      <w:pPr>
        <w:spacing w:line="396" w:lineRule="auto"/>
        <w:ind w:firstLine="480" w:firstLineChars="200"/>
        <w:jc w:val="left"/>
        <w:rPr>
          <w:rFonts w:hint="eastAsia" w:ascii="宋体" w:hAnsi="宋体" w:eastAsia="宋体"/>
          <w:sz w:val="24"/>
        </w:rPr>
      </w:pPr>
      <w:r>
        <w:rPr>
          <w:rFonts w:hint="eastAsia" w:ascii="宋体" w:hAnsi="宋体" w:eastAsia="宋体"/>
          <w:sz w:val="24"/>
        </w:rPr>
        <w:t>1.货款支付方式：承兑或供应链票据支付，不足部分电汇补齐。</w:t>
      </w:r>
    </w:p>
    <w:p w14:paraId="403780BD">
      <w:pPr>
        <w:spacing w:line="396" w:lineRule="auto"/>
        <w:jc w:val="left"/>
        <w:rPr>
          <w:rFonts w:hint="eastAsia" w:ascii="宋体" w:hAnsi="宋体" w:eastAsia="宋体"/>
          <w:sz w:val="24"/>
        </w:rPr>
      </w:pPr>
      <w:r>
        <w:rPr>
          <w:rFonts w:hint="eastAsia" w:ascii="宋体" w:hAnsi="宋体" w:eastAsia="宋体"/>
          <w:sz w:val="24"/>
        </w:rPr>
        <w:t>四、谈判人资格要求</w:t>
      </w:r>
    </w:p>
    <w:p w14:paraId="2C529679">
      <w:pPr>
        <w:spacing w:line="396" w:lineRule="auto"/>
        <w:ind w:firstLine="480" w:firstLineChars="200"/>
        <w:jc w:val="left"/>
        <w:rPr>
          <w:rFonts w:hint="eastAsia" w:ascii="宋体" w:hAnsi="宋体" w:eastAsia="宋体"/>
          <w:sz w:val="24"/>
        </w:rPr>
      </w:pPr>
      <w:r>
        <w:rPr>
          <w:rFonts w:hint="eastAsia" w:ascii="宋体" w:hAnsi="宋体" w:eastAsia="宋体"/>
          <w:sz w:val="24"/>
        </w:rPr>
        <w:t>1. 谈判人应是在中华人民共和国依法注册的独立法人，必须具有独立订立并履行合同的能力,注册资本金不低于1000万元；</w:t>
      </w:r>
    </w:p>
    <w:p w14:paraId="77636231">
      <w:pPr>
        <w:spacing w:line="396" w:lineRule="auto"/>
        <w:ind w:firstLine="480" w:firstLineChars="200"/>
        <w:jc w:val="left"/>
        <w:rPr>
          <w:rFonts w:hint="eastAsia" w:ascii="宋体" w:hAnsi="宋体" w:eastAsia="宋体"/>
          <w:sz w:val="24"/>
        </w:rPr>
      </w:pPr>
      <w:r>
        <w:rPr>
          <w:rFonts w:hint="eastAsia" w:ascii="宋体" w:hAnsi="宋体" w:eastAsia="宋体"/>
          <w:sz w:val="24"/>
        </w:rPr>
        <w:t>2.在专业技术、设备设施、人员组织、业绩经验等方面具有设计、制造、质量控制、经营管理的相应的资格和能力。</w:t>
      </w:r>
    </w:p>
    <w:p w14:paraId="3ABAE185">
      <w:pPr>
        <w:spacing w:line="396" w:lineRule="auto"/>
        <w:ind w:firstLine="480" w:firstLineChars="200"/>
        <w:jc w:val="left"/>
        <w:rPr>
          <w:rFonts w:hint="eastAsia" w:ascii="宋体" w:hAnsi="宋体" w:eastAsia="宋体"/>
          <w:sz w:val="24"/>
        </w:rPr>
      </w:pPr>
      <w:r>
        <w:rPr>
          <w:rFonts w:hint="eastAsia" w:ascii="宋体" w:hAnsi="宋体" w:eastAsia="宋体"/>
          <w:sz w:val="24"/>
        </w:rPr>
        <w:t>3.财务状况良好，提供近3年（自2021至2023年）财务状况表，有依法缴纳税收和社会保障金的良好纪录；具有良好的企业信誉、健全的财务会计制度和履行本项目的财务能力。</w:t>
      </w:r>
    </w:p>
    <w:p w14:paraId="2E6A7E90">
      <w:pPr>
        <w:spacing w:line="396" w:lineRule="auto"/>
        <w:ind w:firstLine="480" w:firstLineChars="200"/>
        <w:jc w:val="left"/>
        <w:rPr>
          <w:rFonts w:hint="eastAsia" w:ascii="宋体" w:hAnsi="宋体" w:eastAsia="宋体"/>
          <w:sz w:val="24"/>
        </w:rPr>
      </w:pPr>
      <w:r>
        <w:rPr>
          <w:rFonts w:hint="eastAsia" w:ascii="宋体" w:hAnsi="宋体" w:eastAsia="宋体"/>
          <w:sz w:val="24"/>
        </w:rPr>
        <w:t>4.企业信誉良好，过去五年中未发生过违约或被业主解除合同或诉讼事件。谈判人未被列入失信被执行人名单；</w:t>
      </w:r>
    </w:p>
    <w:p w14:paraId="46862C95">
      <w:pPr>
        <w:spacing w:line="396" w:lineRule="auto"/>
        <w:ind w:firstLine="480" w:firstLineChars="200"/>
        <w:jc w:val="left"/>
        <w:rPr>
          <w:rFonts w:hint="eastAsia" w:ascii="宋体" w:hAnsi="宋体" w:eastAsia="宋体"/>
          <w:sz w:val="24"/>
        </w:rPr>
      </w:pPr>
      <w:r>
        <w:rPr>
          <w:rFonts w:hint="eastAsia" w:ascii="宋体" w:hAnsi="宋体" w:eastAsia="宋体"/>
          <w:sz w:val="24"/>
        </w:rPr>
        <w:t>5.</w:t>
      </w:r>
      <w:r>
        <w:rPr>
          <w:rFonts w:hint="eastAsia" w:ascii="Calibri" w:hAnsi="Calibri" w:eastAsia="宋体"/>
        </w:rPr>
        <w:t xml:space="preserve"> </w:t>
      </w:r>
      <w:r>
        <w:rPr>
          <w:rFonts w:hint="eastAsia" w:ascii="宋体" w:hAnsi="宋体" w:eastAsia="宋体"/>
          <w:sz w:val="24"/>
        </w:rPr>
        <w:t>自</w:t>
      </w:r>
      <w:r>
        <w:rPr>
          <w:rFonts w:ascii="宋体" w:hAnsi="宋体" w:eastAsia="宋体"/>
          <w:sz w:val="24"/>
        </w:rPr>
        <w:t>202</w:t>
      </w:r>
      <w:r>
        <w:rPr>
          <w:rFonts w:hint="eastAsia" w:ascii="宋体" w:hAnsi="宋体" w:eastAsia="宋体"/>
          <w:sz w:val="24"/>
        </w:rPr>
        <w:t>1年1月1日以来有与谈判相同或类似石灰石行业货物的销售业绩，提供合同原件或复印件并盖公章。</w:t>
      </w:r>
    </w:p>
    <w:p w14:paraId="24693AE7">
      <w:pPr>
        <w:spacing w:line="396" w:lineRule="auto"/>
        <w:ind w:firstLine="480" w:firstLineChars="200"/>
        <w:jc w:val="left"/>
        <w:rPr>
          <w:rFonts w:hint="eastAsia" w:ascii="宋体" w:hAnsi="宋体" w:eastAsia="宋体"/>
          <w:sz w:val="24"/>
        </w:rPr>
      </w:pPr>
      <w:r>
        <w:rPr>
          <w:rFonts w:hint="eastAsia" w:ascii="宋体" w:hAnsi="宋体" w:eastAsia="宋体"/>
          <w:sz w:val="24"/>
        </w:rPr>
        <w:t>6.公司实力强，设备质量可靠，有完善的售前、售后队伍，提供在山东地区的售后服务机构及人员配置情况的说明。</w:t>
      </w:r>
    </w:p>
    <w:p w14:paraId="74058389">
      <w:pPr>
        <w:spacing w:line="396" w:lineRule="auto"/>
        <w:ind w:firstLine="480" w:firstLineChars="200"/>
        <w:rPr>
          <w:rFonts w:hint="eastAsia" w:ascii="宋体" w:hAnsi="宋体" w:eastAsia="宋体"/>
          <w:sz w:val="24"/>
        </w:rPr>
      </w:pPr>
      <w:r>
        <w:rPr>
          <w:rFonts w:hint="eastAsia" w:ascii="宋体" w:hAnsi="宋体" w:eastAsia="宋体"/>
          <w:sz w:val="24"/>
        </w:rPr>
        <w:t>7. 谈判人须遵守中华人民共和国有关法律、法规，无重大违法违约行为。通过信用中国网站（www.creditchina.gov.cn）、中国政府采购网（www.ccgp.gov.cn）查询，未被列入失信被执行人、重大税收违法案件当事人、政府采购严重违法失信行为记录名单查询截屏记录。</w:t>
      </w:r>
    </w:p>
    <w:p w14:paraId="129413E3">
      <w:pPr>
        <w:spacing w:line="396" w:lineRule="auto"/>
        <w:ind w:firstLine="480" w:firstLineChars="200"/>
        <w:jc w:val="left"/>
        <w:rPr>
          <w:rFonts w:hint="eastAsia" w:ascii="宋体" w:hAnsi="宋体" w:eastAsia="宋体"/>
          <w:sz w:val="24"/>
        </w:rPr>
      </w:pPr>
      <w:r>
        <w:rPr>
          <w:rFonts w:hint="eastAsia" w:ascii="宋体" w:hAnsi="宋体" w:eastAsia="宋体"/>
          <w:sz w:val="24"/>
        </w:rPr>
        <w:t>8.具有履行合同必需的设备、专业技术、资质能力（提供营业执照副本；缴纳社保的专业技术人员、培训技师的数量和职业资格证明。</w:t>
      </w:r>
    </w:p>
    <w:p w14:paraId="55CB9B58">
      <w:pPr>
        <w:spacing w:line="396" w:lineRule="auto"/>
        <w:ind w:firstLine="480" w:firstLineChars="200"/>
        <w:jc w:val="left"/>
        <w:rPr>
          <w:rFonts w:hint="eastAsia" w:ascii="宋体" w:hAnsi="宋体" w:eastAsia="宋体"/>
          <w:sz w:val="24"/>
        </w:rPr>
      </w:pPr>
      <w:r>
        <w:rPr>
          <w:rFonts w:hint="eastAsia" w:ascii="宋体" w:hAnsi="宋体" w:eastAsia="宋体"/>
          <w:sz w:val="24"/>
        </w:rPr>
        <w:t>9.本次招标不接受联合体谈判。</w:t>
      </w:r>
    </w:p>
    <w:p w14:paraId="7F135B6D">
      <w:pPr>
        <w:spacing w:line="396" w:lineRule="auto"/>
        <w:jc w:val="left"/>
        <w:rPr>
          <w:rFonts w:hint="eastAsia" w:ascii="宋体" w:hAnsi="宋体" w:eastAsia="宋体"/>
          <w:sz w:val="24"/>
        </w:rPr>
      </w:pPr>
      <w:r>
        <w:rPr>
          <w:rFonts w:hint="eastAsia" w:ascii="宋体" w:hAnsi="宋体" w:eastAsia="宋体"/>
          <w:sz w:val="24"/>
        </w:rPr>
        <w:t>五、公告及报名时间</w:t>
      </w:r>
    </w:p>
    <w:p w14:paraId="24A76A59">
      <w:pPr>
        <w:spacing w:line="396" w:lineRule="auto"/>
        <w:jc w:val="left"/>
        <w:rPr>
          <w:rFonts w:hint="eastAsia" w:ascii="宋体" w:hAnsi="宋体" w:eastAsia="宋体"/>
          <w:b/>
          <w:bCs/>
          <w:color w:val="FFFF00"/>
          <w:sz w:val="24"/>
          <w:highlight w:val="red"/>
          <w:lang w:val="en-US" w:eastAsia="zh-CN"/>
        </w:rPr>
      </w:pPr>
      <w:r>
        <w:rPr>
          <w:rFonts w:hint="eastAsia" w:ascii="宋体" w:hAnsi="宋体" w:eastAsia="宋体"/>
          <w:sz w:val="24"/>
        </w:rPr>
        <w:t>1、报名方式：通过登录济钢集团阳光购销平台网上报名(不接受线下报名)，网上系统网址：bidding.jigang.com.cn。</w:t>
      </w:r>
      <w:r>
        <w:rPr>
          <w:rFonts w:hint="eastAsia" w:ascii="宋体" w:hAnsi="宋体" w:eastAsia="宋体"/>
          <w:b/>
          <w:bCs/>
          <w:color w:val="FFFF00"/>
          <w:sz w:val="24"/>
          <w:highlight w:val="red"/>
          <w:lang w:eastAsia="zh-CN"/>
        </w:rPr>
        <w:t>（</w:t>
      </w:r>
      <w:r>
        <w:rPr>
          <w:rFonts w:hint="eastAsia" w:ascii="宋体" w:hAnsi="宋体" w:eastAsia="宋体"/>
          <w:b/>
          <w:bCs/>
          <w:color w:val="FFFF00"/>
          <w:sz w:val="24"/>
          <w:highlight w:val="red"/>
          <w:lang w:val="en-US" w:eastAsia="zh-CN"/>
        </w:rPr>
        <w:t>先勘察现场后再报名联系人段工</w:t>
      </w:r>
      <w:r>
        <w:rPr>
          <w:rFonts w:hint="eastAsia" w:ascii="宋体" w:hAnsi="宋体" w:eastAsia="宋体"/>
          <w:b/>
          <w:bCs/>
          <w:color w:val="FFFF00"/>
          <w:sz w:val="24"/>
          <w:highlight w:val="red"/>
        </w:rPr>
        <w:t>18563418658</w:t>
      </w:r>
      <w:r>
        <w:rPr>
          <w:rFonts w:hint="eastAsia" w:ascii="宋体" w:hAnsi="宋体" w:eastAsia="宋体"/>
          <w:b/>
          <w:bCs/>
          <w:color w:val="FFFF00"/>
          <w:sz w:val="24"/>
          <w:highlight w:val="red"/>
          <w:lang w:eastAsia="zh-CN"/>
        </w:rPr>
        <w:t>）</w:t>
      </w:r>
    </w:p>
    <w:p w14:paraId="45A794A6">
      <w:pPr>
        <w:spacing w:line="396"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2.公告和报名时间：2024年12月</w:t>
      </w:r>
      <w:r>
        <w:rPr>
          <w:rFonts w:hint="eastAsia" w:ascii="宋体" w:hAnsi="宋体" w:eastAsia="宋体"/>
          <w:color w:val="auto"/>
          <w:sz w:val="24"/>
          <w:highlight w:val="none"/>
          <w:lang w:val="en-US" w:eastAsia="zh-CN"/>
        </w:rPr>
        <w:t>31</w:t>
      </w:r>
      <w:r>
        <w:rPr>
          <w:rFonts w:hint="eastAsia" w:ascii="宋体" w:hAnsi="宋体" w:eastAsia="宋体"/>
          <w:color w:val="auto"/>
          <w:sz w:val="24"/>
          <w:highlight w:val="none"/>
        </w:rPr>
        <w:t>日～202</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日（北京时间）。</w:t>
      </w:r>
    </w:p>
    <w:p w14:paraId="48FE869C">
      <w:pPr>
        <w:spacing w:line="396" w:lineRule="auto"/>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rPr>
        <w:t>3.开标时间：2025年1月</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日，上午</w:t>
      </w: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时</w:t>
      </w:r>
      <w:r>
        <w:rPr>
          <w:rFonts w:hint="eastAsia" w:ascii="宋体" w:hAnsi="宋体" w:eastAsia="宋体"/>
          <w:color w:val="auto"/>
          <w:sz w:val="24"/>
          <w:highlight w:val="none"/>
          <w:lang w:val="en-US" w:eastAsia="zh-CN"/>
        </w:rPr>
        <w:t>00</w:t>
      </w:r>
      <w:r>
        <w:rPr>
          <w:rFonts w:hint="eastAsia" w:ascii="宋体" w:hAnsi="宋体" w:eastAsia="宋体"/>
          <w:color w:val="auto"/>
          <w:sz w:val="24"/>
          <w:highlight w:val="none"/>
        </w:rPr>
        <w:t>分。</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现场开标</w:t>
      </w:r>
      <w:r>
        <w:rPr>
          <w:rFonts w:hint="eastAsia" w:ascii="宋体" w:hAnsi="宋体" w:eastAsia="宋体"/>
          <w:color w:val="auto"/>
          <w:sz w:val="24"/>
          <w:highlight w:val="none"/>
          <w:lang w:eastAsia="zh-CN"/>
        </w:rPr>
        <w:t>）</w:t>
      </w:r>
    </w:p>
    <w:p w14:paraId="677EF47F">
      <w:pPr>
        <w:spacing w:line="396" w:lineRule="auto"/>
        <w:jc w:val="left"/>
        <w:rPr>
          <w:rFonts w:hint="eastAsia" w:ascii="宋体" w:hAnsi="宋体" w:eastAsia="宋体"/>
          <w:sz w:val="24"/>
        </w:rPr>
      </w:pPr>
      <w:r>
        <w:rPr>
          <w:rFonts w:hint="eastAsia" w:ascii="宋体" w:hAnsi="宋体" w:eastAsia="宋体"/>
          <w:sz w:val="24"/>
        </w:rPr>
        <w:t>六. 谈判文件</w:t>
      </w:r>
    </w:p>
    <w:p w14:paraId="0C76A693">
      <w:pPr>
        <w:spacing w:line="396" w:lineRule="auto"/>
        <w:jc w:val="left"/>
        <w:rPr>
          <w:rFonts w:hint="eastAsia" w:ascii="宋体" w:hAnsi="宋体" w:eastAsia="宋体"/>
          <w:sz w:val="24"/>
        </w:rPr>
      </w:pPr>
      <w:r>
        <w:rPr>
          <w:rFonts w:hint="eastAsia" w:ascii="宋体" w:hAnsi="宋体" w:eastAsia="宋体"/>
          <w:sz w:val="24"/>
        </w:rPr>
        <w:t xml:space="preserve">1.获取：凡有意参加的潜在谈判人，在公告期内登陆：bidding.jigang.com.cn注册用户成功后，须修改初始密码，重新登录后报名。报名成功后即可下载谈判文件； </w:t>
      </w:r>
    </w:p>
    <w:p w14:paraId="3EE1013C">
      <w:pPr>
        <w:spacing w:line="396" w:lineRule="auto"/>
        <w:jc w:val="left"/>
        <w:rPr>
          <w:rFonts w:hint="eastAsia" w:ascii="宋体" w:hAnsi="宋体" w:eastAsia="宋体"/>
          <w:sz w:val="24"/>
        </w:rPr>
      </w:pPr>
      <w:r>
        <w:rPr>
          <w:rFonts w:hint="eastAsia" w:ascii="宋体" w:hAnsi="宋体" w:eastAsia="宋体"/>
          <w:sz w:val="24"/>
        </w:rPr>
        <w:t>2.售价：谈判文件免费。</w:t>
      </w:r>
    </w:p>
    <w:p w14:paraId="58F93E9A">
      <w:pPr>
        <w:spacing w:line="396" w:lineRule="auto"/>
        <w:jc w:val="left"/>
        <w:rPr>
          <w:rFonts w:hint="eastAsia" w:ascii="宋体" w:hAnsi="宋体" w:eastAsia="宋体"/>
          <w:sz w:val="24"/>
        </w:rPr>
      </w:pPr>
      <w:r>
        <w:rPr>
          <w:rFonts w:hint="eastAsia" w:ascii="宋体" w:hAnsi="宋体" w:eastAsia="宋体"/>
          <w:sz w:val="24"/>
        </w:rPr>
        <w:t>七、踏勘现场</w:t>
      </w:r>
    </w:p>
    <w:p w14:paraId="6CE371AF">
      <w:pPr>
        <w:spacing w:line="396"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不统一组织踏勘现场。谈判人请于2024年</w:t>
      </w:r>
      <w:r>
        <w:rPr>
          <w:rFonts w:hint="eastAsia" w:ascii="宋体" w:hAnsi="宋体" w:eastAsia="宋体"/>
          <w:color w:val="auto"/>
          <w:sz w:val="24"/>
          <w:highlight w:val="none"/>
          <w:lang w:val="en-US" w:eastAsia="zh-CN"/>
        </w:rPr>
        <w:t>12</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31</w:t>
      </w:r>
      <w:r>
        <w:rPr>
          <w:rFonts w:hint="eastAsia" w:ascii="宋体" w:hAnsi="宋体" w:eastAsia="宋体"/>
          <w:color w:val="auto"/>
          <w:sz w:val="24"/>
          <w:highlight w:val="none"/>
        </w:rPr>
        <w:t>日～202</w:t>
      </w: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年</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月</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日工作日8:30-16:30与技术咨询人联系踏勘现场。</w:t>
      </w:r>
    </w:p>
    <w:p w14:paraId="6C8D3B4F">
      <w:pPr>
        <w:spacing w:line="396" w:lineRule="auto"/>
        <w:jc w:val="left"/>
        <w:rPr>
          <w:rFonts w:hint="eastAsia" w:ascii="宋体" w:hAnsi="宋体" w:eastAsia="宋体"/>
          <w:b/>
          <w:bCs/>
          <w:sz w:val="24"/>
        </w:rPr>
      </w:pPr>
      <w:r>
        <w:rPr>
          <w:rFonts w:hint="eastAsia" w:ascii="宋体" w:hAnsi="宋体" w:eastAsia="宋体"/>
          <w:b/>
          <w:bCs/>
          <w:sz w:val="24"/>
        </w:rPr>
        <w:t>现场技术咨询人：段先生，手机：18563418658。踏勘现场前须对技术文件要求的内容及现场进行提前了解并充分沟通。</w:t>
      </w:r>
    </w:p>
    <w:p w14:paraId="012945E8">
      <w:pPr>
        <w:spacing w:line="396" w:lineRule="auto"/>
        <w:jc w:val="left"/>
        <w:rPr>
          <w:rFonts w:hint="eastAsia" w:ascii="宋体" w:hAnsi="宋体" w:eastAsia="宋体"/>
          <w:sz w:val="24"/>
        </w:rPr>
      </w:pPr>
      <w:r>
        <w:rPr>
          <w:rFonts w:hint="eastAsia" w:ascii="宋体" w:hAnsi="宋体" w:eastAsia="宋体"/>
          <w:sz w:val="24"/>
        </w:rPr>
        <w:t>八、谈判保证金：</w:t>
      </w:r>
      <w:r>
        <w:rPr>
          <w:rFonts w:ascii="宋体" w:hAnsi="宋体" w:eastAsia="宋体"/>
          <w:sz w:val="24"/>
        </w:rPr>
        <w:t>30000</w:t>
      </w:r>
      <w:r>
        <w:rPr>
          <w:rFonts w:hint="eastAsia" w:ascii="宋体" w:hAnsi="宋体" w:eastAsia="宋体"/>
          <w:sz w:val="24"/>
        </w:rPr>
        <w:t>元（大写：人民币叁万元整）</w:t>
      </w:r>
    </w:p>
    <w:p w14:paraId="276B80AB">
      <w:pPr>
        <w:spacing w:line="396" w:lineRule="auto"/>
        <w:jc w:val="left"/>
        <w:rPr>
          <w:rFonts w:hint="eastAsia" w:ascii="宋体" w:hAnsi="宋体" w:eastAsia="宋体"/>
          <w:sz w:val="24"/>
        </w:rPr>
      </w:pPr>
      <w:r>
        <w:rPr>
          <w:rFonts w:hint="eastAsia" w:ascii="宋体" w:hAnsi="宋体" w:eastAsia="宋体"/>
          <w:sz w:val="24"/>
        </w:rPr>
        <w:t>1. 谈判保证金最后缴纳日期：202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1</w:t>
      </w:r>
      <w:r>
        <w:rPr>
          <w:rFonts w:hint="eastAsia" w:ascii="宋体" w:hAnsi="宋体" w:eastAsia="宋体"/>
          <w:sz w:val="24"/>
        </w:rPr>
        <w:t>月</w:t>
      </w:r>
      <w:r>
        <w:rPr>
          <w:rFonts w:hint="eastAsia" w:ascii="宋体" w:hAnsi="宋体" w:eastAsia="宋体"/>
          <w:sz w:val="24"/>
          <w:lang w:val="en-US" w:eastAsia="zh-CN"/>
        </w:rPr>
        <w:t>2</w:t>
      </w:r>
      <w:r>
        <w:rPr>
          <w:rFonts w:hint="eastAsia" w:ascii="宋体" w:hAnsi="宋体" w:eastAsia="宋体"/>
          <w:sz w:val="24"/>
        </w:rPr>
        <w:t>日下午17：00时，逾期缴纳的，将被拒绝。</w:t>
      </w:r>
    </w:p>
    <w:p w14:paraId="6233DA1D">
      <w:pPr>
        <w:spacing w:line="396" w:lineRule="auto"/>
        <w:jc w:val="left"/>
        <w:rPr>
          <w:rFonts w:hint="eastAsia" w:ascii="宋体" w:hAnsi="宋体" w:eastAsia="宋体"/>
          <w:sz w:val="24"/>
        </w:rPr>
      </w:pPr>
      <w:r>
        <w:rPr>
          <w:rFonts w:hint="eastAsia" w:ascii="宋体" w:hAnsi="宋体" w:eastAsia="宋体"/>
          <w:sz w:val="24"/>
        </w:rPr>
        <w:t>2. 谈判保证金应从投标人银行基本账户内转出或汇出，为方便退还不出具收据。交款注明招标编号及款项性质（投标保证金），并将回单及时上传至系统内同时以微信方式转发到15098838165微信上。</w:t>
      </w:r>
    </w:p>
    <w:p w14:paraId="7A438680">
      <w:pPr>
        <w:spacing w:line="396" w:lineRule="auto"/>
        <w:jc w:val="left"/>
        <w:rPr>
          <w:rFonts w:hint="eastAsia" w:ascii="宋体" w:hAnsi="宋体" w:eastAsia="宋体"/>
          <w:sz w:val="24"/>
        </w:rPr>
      </w:pPr>
      <w:r>
        <w:rPr>
          <w:rFonts w:hint="eastAsia" w:ascii="宋体" w:hAnsi="宋体" w:eastAsia="宋体"/>
          <w:sz w:val="24"/>
        </w:rPr>
        <w:t>3.缴纳谈判保证金账户信息：</w:t>
      </w:r>
    </w:p>
    <w:p w14:paraId="0B8BDDAE">
      <w:pPr>
        <w:spacing w:line="396" w:lineRule="auto"/>
        <w:jc w:val="left"/>
        <w:rPr>
          <w:rFonts w:hint="eastAsia" w:ascii="宋体" w:hAnsi="宋体" w:eastAsia="宋体"/>
          <w:sz w:val="24"/>
        </w:rPr>
      </w:pPr>
      <w:r>
        <w:rPr>
          <w:rFonts w:hint="eastAsia" w:ascii="宋体" w:hAnsi="宋体" w:eastAsia="宋体"/>
          <w:sz w:val="24"/>
        </w:rPr>
        <w:t xml:space="preserve">   名  称：济南鲍德冶金石灰石有限公司</w:t>
      </w:r>
    </w:p>
    <w:p w14:paraId="0FC41562">
      <w:pPr>
        <w:spacing w:line="396" w:lineRule="auto"/>
        <w:jc w:val="left"/>
        <w:rPr>
          <w:rFonts w:hint="eastAsia" w:ascii="宋体" w:hAnsi="宋体" w:eastAsia="宋体"/>
          <w:sz w:val="24"/>
        </w:rPr>
      </w:pPr>
      <w:r>
        <w:rPr>
          <w:rFonts w:hint="eastAsia" w:ascii="宋体" w:hAnsi="宋体" w:eastAsia="宋体"/>
          <w:sz w:val="24"/>
        </w:rPr>
        <w:t xml:space="preserve">   开户行：中国农业银行股份有限公司济南埠村支行</w:t>
      </w:r>
    </w:p>
    <w:p w14:paraId="70751AC7">
      <w:pPr>
        <w:spacing w:line="396" w:lineRule="auto"/>
        <w:jc w:val="left"/>
        <w:rPr>
          <w:rFonts w:hint="eastAsia" w:ascii="宋体" w:hAnsi="宋体" w:eastAsia="宋体"/>
          <w:sz w:val="24"/>
        </w:rPr>
      </w:pPr>
      <w:r>
        <w:rPr>
          <w:rFonts w:hint="eastAsia" w:ascii="宋体" w:hAnsi="宋体" w:eastAsia="宋体"/>
          <w:sz w:val="24"/>
        </w:rPr>
        <w:t xml:space="preserve">   账  号：15137301040002766</w:t>
      </w:r>
    </w:p>
    <w:p w14:paraId="57913DC0">
      <w:pPr>
        <w:spacing w:line="396" w:lineRule="auto"/>
        <w:ind w:firstLine="240" w:firstLineChars="100"/>
        <w:jc w:val="left"/>
        <w:rPr>
          <w:rFonts w:hint="eastAsia" w:ascii="宋体" w:hAnsi="宋体" w:eastAsia="宋体"/>
          <w:sz w:val="24"/>
        </w:rPr>
      </w:pPr>
      <w:r>
        <w:rPr>
          <w:rFonts w:hint="eastAsia" w:ascii="宋体" w:hAnsi="宋体" w:eastAsia="宋体"/>
          <w:sz w:val="24"/>
        </w:rPr>
        <w:t>开户行行号：103451013739</w:t>
      </w:r>
    </w:p>
    <w:p w14:paraId="79FAD985">
      <w:pPr>
        <w:spacing w:line="396" w:lineRule="auto"/>
        <w:jc w:val="left"/>
        <w:rPr>
          <w:rFonts w:hint="eastAsia" w:ascii="宋体" w:hAnsi="宋体" w:eastAsia="宋体"/>
          <w:sz w:val="24"/>
        </w:rPr>
      </w:pPr>
      <w:r>
        <w:rPr>
          <w:rFonts w:hint="eastAsia" w:ascii="宋体" w:hAnsi="宋体" w:eastAsia="宋体"/>
          <w:sz w:val="24"/>
        </w:rPr>
        <w:t>4. 谈判保证金在合同签订后30日内原账户无息退还。</w:t>
      </w:r>
    </w:p>
    <w:p w14:paraId="2777BD4D">
      <w:pPr>
        <w:spacing w:line="396" w:lineRule="auto"/>
        <w:jc w:val="left"/>
        <w:rPr>
          <w:rFonts w:hint="eastAsia" w:ascii="宋体" w:hAnsi="宋体" w:eastAsia="宋体"/>
          <w:sz w:val="24"/>
        </w:rPr>
      </w:pPr>
      <w:r>
        <w:rPr>
          <w:rFonts w:hint="eastAsia" w:ascii="宋体" w:hAnsi="宋体" w:eastAsia="宋体"/>
          <w:sz w:val="24"/>
        </w:rPr>
        <w:t>5、在递交谈判文件时，携带谈判保证金交款回单，以备查验。</w:t>
      </w:r>
    </w:p>
    <w:p w14:paraId="37A601B9">
      <w:pPr>
        <w:spacing w:line="396" w:lineRule="auto"/>
        <w:jc w:val="left"/>
        <w:rPr>
          <w:rFonts w:hint="eastAsia" w:ascii="宋体" w:hAnsi="宋体" w:eastAsia="宋体"/>
          <w:sz w:val="24"/>
        </w:rPr>
      </w:pPr>
      <w:r>
        <w:rPr>
          <w:rFonts w:hint="eastAsia" w:ascii="宋体" w:hAnsi="宋体" w:eastAsia="宋体"/>
          <w:sz w:val="24"/>
        </w:rPr>
        <w:t>八</w:t>
      </w:r>
      <w:r>
        <w:rPr>
          <w:rFonts w:ascii="宋体" w:hAnsi="宋体" w:eastAsia="宋体"/>
          <w:sz w:val="24"/>
        </w:rPr>
        <w:t>、</w:t>
      </w:r>
      <w:r>
        <w:rPr>
          <w:rFonts w:hint="eastAsia" w:ascii="宋体" w:hAnsi="宋体" w:eastAsia="宋体"/>
          <w:sz w:val="24"/>
        </w:rPr>
        <w:t>谈判文件的递交</w:t>
      </w:r>
    </w:p>
    <w:p w14:paraId="769CEC5F">
      <w:pPr>
        <w:spacing w:line="396" w:lineRule="auto"/>
        <w:jc w:val="left"/>
        <w:rPr>
          <w:rFonts w:hint="eastAsia" w:ascii="宋体" w:hAnsi="宋体" w:eastAsia="宋体"/>
          <w:sz w:val="24"/>
          <w:highlight w:val="none"/>
        </w:rPr>
      </w:pPr>
      <w:r>
        <w:rPr>
          <w:rFonts w:ascii="宋体" w:hAnsi="宋体" w:eastAsia="宋体"/>
          <w:sz w:val="24"/>
          <w:highlight w:val="none"/>
        </w:rPr>
        <w:t>1</w:t>
      </w:r>
      <w:r>
        <w:rPr>
          <w:rFonts w:hint="eastAsia" w:ascii="宋体" w:hAnsi="宋体" w:eastAsia="宋体"/>
          <w:sz w:val="24"/>
          <w:highlight w:val="none"/>
        </w:rPr>
        <w:t>. 谈判文件递交的截止时间（截止时间，下同）为202</w:t>
      </w:r>
      <w:r>
        <w:rPr>
          <w:rFonts w:hint="eastAsia" w:ascii="宋体" w:hAnsi="宋体" w:eastAsia="宋体"/>
          <w:sz w:val="24"/>
          <w:highlight w:val="none"/>
          <w:lang w:val="en-US" w:eastAsia="zh-CN"/>
        </w:rPr>
        <w:t>5</w:t>
      </w:r>
      <w:r>
        <w:rPr>
          <w:rFonts w:hint="eastAsia" w:ascii="宋体" w:hAnsi="宋体" w:eastAsia="宋体"/>
          <w:sz w:val="24"/>
          <w:highlight w:val="none"/>
        </w:rPr>
        <w:t>年</w:t>
      </w:r>
      <w:r>
        <w:rPr>
          <w:rFonts w:hint="eastAsia" w:ascii="宋体" w:hAnsi="宋体" w:eastAsia="宋体"/>
          <w:sz w:val="24"/>
          <w:highlight w:val="none"/>
          <w:lang w:val="en-US" w:eastAsia="zh-CN"/>
        </w:rPr>
        <w:t>1</w:t>
      </w:r>
      <w:r>
        <w:rPr>
          <w:rFonts w:hint="eastAsia" w:ascii="宋体" w:hAnsi="宋体" w:eastAsia="宋体"/>
          <w:sz w:val="24"/>
          <w:highlight w:val="none"/>
        </w:rPr>
        <w:t>月</w:t>
      </w:r>
      <w:r>
        <w:rPr>
          <w:rFonts w:hint="eastAsia" w:ascii="宋体" w:hAnsi="宋体" w:eastAsia="宋体"/>
          <w:sz w:val="24"/>
          <w:highlight w:val="none"/>
          <w:lang w:val="en-US" w:eastAsia="zh-CN"/>
        </w:rPr>
        <w:t>3</w:t>
      </w:r>
      <w:r>
        <w:rPr>
          <w:rFonts w:hint="eastAsia" w:ascii="宋体" w:hAnsi="宋体" w:eastAsia="宋体"/>
          <w:sz w:val="24"/>
          <w:highlight w:val="none"/>
        </w:rPr>
        <w:t>日上午</w:t>
      </w:r>
      <w:r>
        <w:rPr>
          <w:rFonts w:hint="eastAsia" w:ascii="宋体" w:hAnsi="宋体" w:eastAsia="宋体"/>
          <w:sz w:val="24"/>
          <w:highlight w:val="none"/>
          <w:lang w:val="en-US" w:eastAsia="zh-CN"/>
        </w:rPr>
        <w:t>9</w:t>
      </w:r>
      <w:r>
        <w:rPr>
          <w:rFonts w:hint="eastAsia" w:ascii="宋体" w:hAnsi="宋体" w:eastAsia="宋体"/>
          <w:sz w:val="24"/>
          <w:highlight w:val="none"/>
        </w:rPr>
        <w:t>时</w:t>
      </w:r>
      <w:r>
        <w:rPr>
          <w:rFonts w:hint="eastAsia" w:ascii="宋体" w:hAnsi="宋体" w:eastAsia="宋体"/>
          <w:sz w:val="24"/>
          <w:highlight w:val="none"/>
          <w:lang w:val="en-US" w:eastAsia="zh-CN"/>
        </w:rPr>
        <w:t>00</w:t>
      </w:r>
      <w:r>
        <w:rPr>
          <w:rFonts w:hint="eastAsia" w:ascii="宋体" w:hAnsi="宋体" w:eastAsia="宋体"/>
          <w:sz w:val="24"/>
          <w:highlight w:val="none"/>
        </w:rPr>
        <w:t>分前，地点为济南鲍德冶金石灰石有限公司一楼东会议室。</w:t>
      </w:r>
    </w:p>
    <w:p w14:paraId="7D24F45D">
      <w:pPr>
        <w:spacing w:line="396" w:lineRule="auto"/>
        <w:jc w:val="left"/>
        <w:rPr>
          <w:rFonts w:hint="eastAsia" w:ascii="宋体" w:hAnsi="宋体" w:eastAsia="宋体"/>
          <w:sz w:val="24"/>
        </w:rPr>
      </w:pPr>
      <w:r>
        <w:rPr>
          <w:rFonts w:ascii="宋体" w:hAnsi="宋体" w:eastAsia="宋体"/>
          <w:sz w:val="24"/>
        </w:rPr>
        <w:t>2</w:t>
      </w:r>
      <w:r>
        <w:rPr>
          <w:rFonts w:hint="eastAsia" w:ascii="宋体" w:hAnsi="宋体" w:eastAsia="宋体"/>
          <w:sz w:val="24"/>
        </w:rPr>
        <w:t>.逾期送达的、未送达指定地点的或者不按照谈判文件要求密封的投标文件，招标人将予以拒收。</w:t>
      </w:r>
    </w:p>
    <w:p w14:paraId="0DBF9DBB">
      <w:pPr>
        <w:spacing w:line="396" w:lineRule="auto"/>
        <w:jc w:val="left"/>
        <w:rPr>
          <w:rFonts w:hint="eastAsia" w:ascii="宋体" w:hAnsi="宋体" w:eastAsia="宋体"/>
          <w:sz w:val="24"/>
        </w:rPr>
      </w:pPr>
      <w:r>
        <w:rPr>
          <w:rFonts w:hint="eastAsia" w:ascii="宋体" w:hAnsi="宋体" w:eastAsia="宋体"/>
          <w:sz w:val="24"/>
        </w:rPr>
        <w:t>九、</w:t>
      </w:r>
      <w:r>
        <w:rPr>
          <w:rFonts w:ascii="宋体" w:hAnsi="宋体" w:eastAsia="宋体"/>
          <w:sz w:val="24"/>
        </w:rPr>
        <w:t>资格审查方式</w:t>
      </w:r>
    </w:p>
    <w:p w14:paraId="0B12D1D9">
      <w:pPr>
        <w:spacing w:line="396" w:lineRule="auto"/>
        <w:ind w:firstLine="240" w:firstLineChars="100"/>
        <w:jc w:val="left"/>
        <w:rPr>
          <w:rFonts w:hint="eastAsia" w:ascii="宋体" w:hAnsi="宋体" w:eastAsia="宋体"/>
          <w:sz w:val="24"/>
        </w:rPr>
      </w:pPr>
      <w:r>
        <w:rPr>
          <w:rFonts w:ascii="宋体" w:hAnsi="宋体" w:eastAsia="宋体"/>
          <w:sz w:val="24"/>
        </w:rPr>
        <w:t>资格后审;开标后，评标委员会对投标单位的资质文件进行评审。评审合格的进入下一阶段评审；评审不合格的按废标处理。</w:t>
      </w:r>
    </w:p>
    <w:p w14:paraId="6C092D2C">
      <w:pPr>
        <w:spacing w:line="396" w:lineRule="auto"/>
        <w:jc w:val="left"/>
        <w:rPr>
          <w:rFonts w:hint="eastAsia" w:ascii="宋体" w:hAnsi="宋体" w:eastAsia="宋体"/>
          <w:sz w:val="24"/>
        </w:rPr>
      </w:pPr>
      <w:r>
        <w:rPr>
          <w:rFonts w:hint="eastAsia" w:ascii="宋体" w:hAnsi="宋体" w:eastAsia="宋体"/>
          <w:sz w:val="24"/>
        </w:rPr>
        <w:t>十、联系方式</w:t>
      </w:r>
    </w:p>
    <w:p w14:paraId="3716EBCB">
      <w:pPr>
        <w:spacing w:line="396" w:lineRule="auto"/>
        <w:jc w:val="left"/>
        <w:rPr>
          <w:rFonts w:hint="eastAsia" w:ascii="宋体" w:hAnsi="宋体" w:eastAsia="宋体"/>
          <w:sz w:val="24"/>
        </w:rPr>
      </w:pPr>
      <w:r>
        <w:rPr>
          <w:rFonts w:hint="eastAsia" w:ascii="宋体" w:hAnsi="宋体" w:eastAsia="宋体"/>
          <w:sz w:val="24"/>
        </w:rPr>
        <w:t>1、招标联系人：郑女士，联系电话：0531-83719629  15098838165。</w:t>
      </w:r>
    </w:p>
    <w:p w14:paraId="5AA3584B">
      <w:pPr>
        <w:pStyle w:val="2"/>
        <w:rPr>
          <w:rFonts w:hint="default" w:eastAsia="宋体"/>
          <w:lang w:val="en-US" w:eastAsia="zh-CN"/>
        </w:rPr>
      </w:pPr>
      <w:r>
        <w:rPr>
          <w:rFonts w:hint="eastAsia" w:ascii="宋体" w:hAnsi="宋体" w:eastAsia="宋体"/>
          <w:sz w:val="24"/>
          <w:lang w:val="en-US" w:eastAsia="zh-CN"/>
        </w:rPr>
        <w:t>技术联系人：段先生，联系电话：18563418658</w:t>
      </w:r>
    </w:p>
    <w:p w14:paraId="65ED734D">
      <w:pPr>
        <w:spacing w:line="396" w:lineRule="auto"/>
        <w:jc w:val="left"/>
        <w:rPr>
          <w:rFonts w:hint="eastAsia" w:ascii="宋体" w:hAnsi="宋体" w:eastAsia="宋体"/>
          <w:color w:val="000000"/>
          <w:sz w:val="24"/>
        </w:rPr>
      </w:pPr>
      <w:r>
        <w:rPr>
          <w:rFonts w:hint="eastAsia" w:ascii="宋体" w:hAnsi="宋体" w:eastAsia="宋体"/>
          <w:color w:val="000000"/>
          <w:sz w:val="24"/>
        </w:rPr>
        <w:t>十一、公告中的</w:t>
      </w:r>
      <w:r>
        <w:rPr>
          <w:rFonts w:hint="eastAsia" w:ascii="宋体" w:hAnsi="宋体" w:eastAsia="宋体"/>
          <w:sz w:val="24"/>
        </w:rPr>
        <w:t>谈判</w:t>
      </w:r>
      <w:r>
        <w:rPr>
          <w:rFonts w:hint="eastAsia" w:ascii="宋体" w:hAnsi="宋体" w:eastAsia="宋体"/>
          <w:color w:val="000000"/>
          <w:sz w:val="24"/>
        </w:rPr>
        <w:t>内容和招标其他要求以最终的</w:t>
      </w:r>
      <w:r>
        <w:rPr>
          <w:rFonts w:hint="eastAsia" w:ascii="宋体" w:hAnsi="宋体" w:eastAsia="宋体"/>
          <w:sz w:val="24"/>
        </w:rPr>
        <w:t>谈判</w:t>
      </w:r>
      <w:r>
        <w:rPr>
          <w:rFonts w:hint="eastAsia" w:ascii="宋体" w:hAnsi="宋体" w:eastAsia="宋体"/>
          <w:color w:val="000000"/>
          <w:sz w:val="24"/>
        </w:rPr>
        <w:t>文件为准。</w:t>
      </w:r>
    </w:p>
    <w:p w14:paraId="616D4CD4">
      <w:pPr>
        <w:spacing w:after="120"/>
        <w:ind w:left="420" w:leftChars="200" w:firstLine="420" w:firstLineChars="200"/>
        <w:rPr>
          <w:rFonts w:ascii="Calibri" w:hAnsi="Calibri" w:eastAsia="宋体"/>
        </w:rPr>
      </w:pPr>
    </w:p>
    <w:p w14:paraId="19EBE430">
      <w:pPr>
        <w:spacing w:line="396" w:lineRule="auto"/>
        <w:ind w:firstLine="4080" w:firstLineChars="1700"/>
        <w:jc w:val="left"/>
        <w:rPr>
          <w:rFonts w:hint="eastAsia" w:ascii="宋体" w:hAnsi="宋体" w:eastAsia="宋体"/>
          <w:color w:val="000000"/>
          <w:sz w:val="24"/>
        </w:rPr>
      </w:pPr>
      <w:r>
        <w:rPr>
          <w:rFonts w:hint="eastAsia" w:ascii="宋体" w:hAnsi="宋体" w:eastAsia="宋体"/>
          <w:color w:val="000000"/>
          <w:sz w:val="24"/>
        </w:rPr>
        <w:t xml:space="preserve"> 　济南鲍德冶金石灰石有限公司</w:t>
      </w:r>
    </w:p>
    <w:p w14:paraId="67604FDB">
      <w:pPr>
        <w:keepNext w:val="0"/>
        <w:keepLines w:val="0"/>
        <w:pageBreakBefore w:val="0"/>
        <w:widowControl w:val="0"/>
        <w:kinsoku/>
        <w:wordWrap/>
        <w:overflowPunct/>
        <w:topLinePunct w:val="0"/>
        <w:autoSpaceDE/>
        <w:autoSpaceDN/>
        <w:bidi w:val="0"/>
        <w:adjustRightInd/>
        <w:snapToGrid/>
        <w:spacing w:line="240" w:lineRule="exact"/>
        <w:ind w:firstLine="5280" w:firstLineChars="2200"/>
        <w:jc w:val="left"/>
        <w:textAlignment w:val="auto"/>
        <w:rPr>
          <w:rFonts w:hint="eastAsia" w:ascii="宋体" w:hAnsi="宋体" w:eastAsia="宋体"/>
          <w:color w:val="000000"/>
          <w:sz w:val="24"/>
          <w:lang w:val="en-US" w:eastAsia="zh-CN"/>
        </w:rPr>
        <w:sectPr>
          <w:pgSz w:w="11906" w:h="16838"/>
          <w:pgMar w:top="1440" w:right="1797" w:bottom="1440" w:left="1797" w:header="851" w:footer="992" w:gutter="0"/>
          <w:cols w:space="720" w:num="1"/>
          <w:docGrid w:type="lines" w:linePitch="312" w:charSpace="0"/>
        </w:sectPr>
      </w:pPr>
      <w:r>
        <w:rPr>
          <w:rFonts w:hint="eastAsia" w:ascii="宋体" w:hAnsi="宋体" w:eastAsia="宋体"/>
          <w:color w:val="000000"/>
          <w:sz w:val="24"/>
        </w:rPr>
        <w:t>2024年12月2</w:t>
      </w:r>
      <w:r>
        <w:rPr>
          <w:rFonts w:hint="eastAsia" w:ascii="宋体" w:hAnsi="宋体" w:eastAsia="宋体"/>
          <w:color w:val="000000"/>
          <w:sz w:val="24"/>
          <w:lang w:val="en-US" w:eastAsia="zh-CN"/>
        </w:rPr>
        <w:t>8</w:t>
      </w:r>
      <w:bookmarkStart w:id="5" w:name="_GoBack"/>
      <w:bookmarkEnd w:id="5"/>
    </w:p>
    <w:p w14:paraId="4A9D16B8">
      <w:pPr>
        <w:keepNext w:val="0"/>
        <w:keepLines w:val="0"/>
        <w:pageBreakBefore w:val="0"/>
        <w:widowControl w:val="0"/>
        <w:kinsoku/>
        <w:wordWrap/>
        <w:overflowPunct/>
        <w:topLinePunct w:val="0"/>
        <w:autoSpaceDE/>
        <w:autoSpaceDN/>
        <w:bidi w:val="0"/>
        <w:adjustRightInd/>
        <w:snapToGrid/>
        <w:spacing w:line="3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C60D0"/>
    <w:rsid w:val="3DE26CEF"/>
    <w:rsid w:val="43E77921"/>
    <w:rsid w:val="58194E86"/>
    <w:rsid w:val="5A0C60D0"/>
    <w:rsid w:val="5BCC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1709</Words>
  <Characters>1959</Characters>
  <Lines>0</Lines>
  <Paragraphs>0</Paragraphs>
  <TotalTime>1</TotalTime>
  <ScaleCrop>false</ScaleCrop>
  <LinksUpToDate>false</LinksUpToDate>
  <CharactersWithSpaces>2028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2024-12-31T06:50:00Z</dcterms:created>
  <dc:creator>换个名字吧</dc:creator>
  <cp:lastModifiedBy>换个名字吧</cp:lastModifiedBy>
  <dcterms:modified xsi:type="dcterms:W3CDTF">2024-12-31T07:03:21Z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2D255F7D22114AF2B5D382765D69376C_11</vt:lpwstr>
  </property>
  <property fmtid="{D5CDD505-2E9C-101B-9397-08002B2CF9AE}" pid="4" name="KSOTemplateDocerSaveRecord">
    <vt:lpwstr>eyJoZGlkIjoiNjU1ZDBhZGYzNGE2NTBkYzJjZDhiNGY0OWI1NmQ1ZmQiLCJ1c2VySWQiOiI3MzAxOTgwNzUifQ==</vt:lpwstr>
  </property>
</Properties>
</file>